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 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A garder pour échanger : EMSI  (dans OPG) - dans le sens type de moyen/ressource, plus large que le type de vecteur/véhicule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 la responsabilité des Smur (UMH, HéliSmur…)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du secteur hospitalier, public ou privé (établissement de soins, vecteurs sanitaires hospitaliers hors 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 la prise en charge libérale (médecins libéraux, paramédicaux libéraux, pharmacies, MMG, SOS Médecin…)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SECI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</w:t>
            </w:r>
          </w:p>
        </w:tc>
        <w:tc>
          <w:tcPr>
            <w:tcW w:type="dxa" w:w="1440"/>
          </w:tcPr>
          <w:p>
            <w:r>
              <w:t>Institutions administratives et sociales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administrations ou services sociaux (ARS, Institut National de Veille Sanitaire…)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DAE</w:t>
            </w:r>
          </w:p>
        </w:tc>
        <w:tc>
          <w:tcPr>
            <w:tcW w:type="dxa" w:w="1440"/>
          </w:tcPr>
          <w:p>
            <w:r>
              <w:t>Défibrillateurs Automatisés Externes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défibrillateurs automatisés externes présents sur le territoire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BE3F8A-6B1D-4508-8583-D06131204323}"/>
</file>

<file path=customXml/itemProps3.xml><?xml version="1.0" encoding="utf-8"?>
<ds:datastoreItem xmlns:ds="http://schemas.openxmlformats.org/officeDocument/2006/customXml" ds:itemID="{508B6A75-16E1-4DA1-8F1A-F1D60C4FD3D5}"/>
</file>

<file path=customXml/itemProps4.xml><?xml version="1.0" encoding="utf-8"?>
<ds:datastoreItem xmlns:ds="http://schemas.openxmlformats.org/officeDocument/2006/customXml" ds:itemID="{1AD6645A-ECCD-4584-96E4-EA4A7B44C3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